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jc w:val="center"/>
        <w:rPr>
          <w:rFonts w:ascii="宋体" w:hAnsi="宋体" w:eastAsia="宋体" w:cs="Arial"/>
          <w:b/>
          <w:bCs/>
          <w:color w:val="FF0000"/>
          <w:kern w:val="0"/>
          <w:sz w:val="72"/>
          <w:szCs w:val="72"/>
        </w:rPr>
      </w:pPr>
      <w:r>
        <w:rPr>
          <w:rFonts w:hint="eastAsia" w:ascii="宋体" w:hAnsi="宋体" w:eastAsia="宋体" w:cs="Arial"/>
          <w:b/>
          <w:bCs/>
          <w:color w:val="FF0000"/>
          <w:kern w:val="0"/>
          <w:sz w:val="72"/>
          <w:szCs w:val="72"/>
        </w:rPr>
        <w:t>湖南文理学院教务处</w:t>
      </w:r>
    </w:p>
    <w:p>
      <w:pPr>
        <w:widowControl/>
        <w:shd w:val="clear" w:color="auto" w:fill="FFFFFF"/>
        <w:wordWrap w:val="0"/>
        <w:spacing w:line="360" w:lineRule="auto"/>
        <w:jc w:val="center"/>
        <w:rPr>
          <w:rFonts w:ascii="宋体" w:hAnsi="宋体" w:eastAsia="宋体" w:cs="Arial"/>
          <w:kern w:val="0"/>
          <w:sz w:val="24"/>
          <w:szCs w:val="24"/>
        </w:rPr>
      </w:pPr>
      <w:r>
        <w:rPr>
          <w:rFonts w:hint="eastAsia" w:ascii="宋体" w:hAnsi="宋体" w:eastAsia="宋体" w:cs="Arial"/>
          <w:color w:val="FF0000"/>
          <w:kern w:val="0"/>
          <w:sz w:val="24"/>
          <w:szCs w:val="24"/>
        </w:rPr>
        <w:t>━━━━━━━━━━━━━━━━━━━━━━━━━━━━━━━━━━</w:t>
      </w:r>
    </w:p>
    <w:p>
      <w:pPr>
        <w:spacing w:line="640" w:lineRule="exact"/>
        <w:jc w:val="center"/>
        <w:rPr>
          <w:rFonts w:ascii="方正小标宋_GBK" w:hAnsi="方正小标宋_GBK" w:eastAsia="方正小标宋_GBK" w:cs="方正小标宋_GBK"/>
          <w:w w:val="90"/>
          <w:sz w:val="44"/>
          <w:szCs w:val="44"/>
        </w:rPr>
      </w:pPr>
      <w:r>
        <w:rPr>
          <w:rFonts w:hint="eastAsia" w:ascii="方正小标宋_GBK" w:hAnsi="方正小标宋_GBK" w:eastAsia="方正小标宋_GBK" w:cs="方正小标宋_GBK"/>
          <w:w w:val="90"/>
          <w:sz w:val="44"/>
          <w:szCs w:val="44"/>
        </w:rPr>
        <w:t>关于校级教学成果奖评审结果及</w:t>
      </w:r>
    </w:p>
    <w:p>
      <w:pPr>
        <w:spacing w:line="640" w:lineRule="exact"/>
        <w:jc w:val="center"/>
        <w:rPr>
          <w:rFonts w:ascii="方正小标宋_GBK" w:hAnsi="方正小标宋_GBK" w:eastAsia="方正小标宋_GBK" w:cs="方正小标宋_GBK"/>
          <w:w w:val="90"/>
          <w:sz w:val="44"/>
          <w:szCs w:val="44"/>
        </w:rPr>
      </w:pPr>
      <w:r>
        <w:rPr>
          <w:rFonts w:hint="eastAsia" w:ascii="方正小标宋_GBK" w:hAnsi="方正小标宋_GBK" w:eastAsia="方正小标宋_GBK" w:cs="方正小标宋_GBK"/>
          <w:w w:val="90"/>
          <w:sz w:val="44"/>
          <w:szCs w:val="44"/>
        </w:rPr>
        <w:t>第十三届省级教学成果奖评审推荐结果的公示</w:t>
      </w: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校属各单位：</w:t>
      </w:r>
    </w:p>
    <w:p>
      <w:p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根据湖南省教育厅《关于开展第十三届湖南省高等教育教学成果奖励工作的通知》（湘教通〔2022〕14号）及教务处《关于开展2021年校级教学成果奖申报工作的通知》教务〔2021〕90号文件部署，学校组织了教学成果奖遴选推荐工作。经各项目组自由申报、教学院推荐、学校审核</w:t>
      </w:r>
      <w:r>
        <w:rPr>
          <w:rFonts w:hint="eastAsia" w:ascii="仿宋" w:hAnsi="仿宋" w:eastAsia="仿宋"/>
          <w:sz w:val="32"/>
          <w:szCs w:val="32"/>
          <w:lang w:eastAsia="zh-CN"/>
        </w:rPr>
        <w:t>，同意</w:t>
      </w:r>
      <w:r>
        <w:rPr>
          <w:rFonts w:hint="eastAsia" w:ascii="仿宋" w:hAnsi="仿宋" w:eastAsia="仿宋"/>
          <w:sz w:val="32"/>
          <w:szCs w:val="32"/>
        </w:rPr>
        <w:t>“能力导向、四位一体、协同驱动-光电类专业应用型人才培养的探索与实践”等</w:t>
      </w:r>
      <w:r>
        <w:rPr>
          <w:rFonts w:hint="eastAsia" w:ascii="仿宋" w:hAnsi="仿宋" w:eastAsia="仿宋"/>
          <w:sz w:val="32"/>
          <w:szCs w:val="32"/>
          <w:lang w:val="en-US" w:eastAsia="zh-CN"/>
        </w:rPr>
        <w:t>41</w:t>
      </w:r>
      <w:r>
        <w:rPr>
          <w:rFonts w:hint="eastAsia" w:ascii="仿宋" w:hAnsi="仿宋" w:eastAsia="仿宋"/>
          <w:sz w:val="32"/>
          <w:szCs w:val="32"/>
        </w:rPr>
        <w:t>项成果</w:t>
      </w:r>
      <w:r>
        <w:rPr>
          <w:rFonts w:hint="eastAsia" w:ascii="仿宋" w:hAnsi="仿宋" w:eastAsia="仿宋"/>
          <w:sz w:val="32"/>
          <w:szCs w:val="32"/>
          <w:lang w:eastAsia="zh-CN"/>
        </w:rPr>
        <w:t>申报校级教学成果奖。为确保公平公正，学校聘请了高水平大学国家级教学成果奖获得者、国家级教学名师组成专家组，经盲</w:t>
      </w:r>
      <w:r>
        <w:rPr>
          <w:rFonts w:hint="eastAsia" w:ascii="仿宋" w:hAnsi="仿宋" w:eastAsia="仿宋"/>
          <w:sz w:val="32"/>
          <w:szCs w:val="32"/>
        </w:rPr>
        <w:t>审</w:t>
      </w:r>
      <w:r>
        <w:rPr>
          <w:rFonts w:hint="eastAsia" w:ascii="仿宋" w:hAnsi="仿宋" w:eastAsia="仿宋"/>
          <w:sz w:val="32"/>
          <w:szCs w:val="32"/>
          <w:lang w:eastAsia="zh-CN"/>
        </w:rPr>
        <w:t>、明审</w:t>
      </w:r>
      <w:r>
        <w:rPr>
          <w:rFonts w:hint="eastAsia" w:ascii="仿宋" w:hAnsi="仿宋" w:eastAsia="仿宋"/>
          <w:sz w:val="32"/>
          <w:szCs w:val="32"/>
        </w:rPr>
        <w:t>，</w:t>
      </w:r>
      <w:r>
        <w:rPr>
          <w:rFonts w:hint="eastAsia" w:ascii="仿宋" w:hAnsi="仿宋" w:eastAsia="仿宋"/>
          <w:sz w:val="32"/>
          <w:szCs w:val="32"/>
          <w:lang w:eastAsia="zh-CN"/>
        </w:rPr>
        <w:t>及充分论证，并</w:t>
      </w:r>
      <w:r>
        <w:rPr>
          <w:rFonts w:hint="eastAsia" w:ascii="仿宋" w:hAnsi="仿宋" w:eastAsia="仿宋"/>
          <w:sz w:val="32"/>
          <w:szCs w:val="32"/>
        </w:rPr>
        <w:t>报学校党委研究，拟确定“能力导向、四位一体、协同驱动-光电类专业应用型人才培养的探索与实践”等22项成果为校级一等奖教学成果、“一流学科建设背景下日语演讲实践教学改革与探索”等19项成果为校级二等奖教学成果（见附表1），拟推荐“地方高校电气信息类“四驱动五融合”应用型创新人才培养模式探索与实践”等12项成果以湖南文理学院为第一完成单位申报第十三届湖南省高等教育教学成果（见附表2），拟推荐“对接与重构:“德、智、能”三位一体的化学师范生基础课程群建设”等2项成果以湖南文理学院芙蓉学院为第一完成单位申报第十三届湖南省高等教育教学成果（见附表3）。现予以公示。</w:t>
      </w:r>
    </w:p>
    <w:p>
      <w:p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公示期10天，公示期内如有异议，请书面向教务处反映，并提供必要的证明材料及有效联系方式。以单位名义提出异议的，须在书面异议材料上加盖本单位公章;个人提出异议的，须签署真实姓名。否则不予受理。</w:t>
      </w:r>
    </w:p>
    <w:p>
      <w:p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联系人：黄建韶        联系电话：07367186052</w:t>
      </w:r>
    </w:p>
    <w:p>
      <w:pPr>
        <w:spacing w:line="500" w:lineRule="exact"/>
        <w:ind w:firstLine="6240" w:firstLineChars="1950"/>
        <w:jc w:val="left"/>
        <w:rPr>
          <w:rFonts w:ascii="仿宋_GB2312" w:eastAsia="仿宋_GB2312"/>
          <w:sz w:val="32"/>
          <w:szCs w:val="32"/>
        </w:rPr>
      </w:pPr>
    </w:p>
    <w:p>
      <w:pPr>
        <w:spacing w:line="500" w:lineRule="exact"/>
        <w:ind w:firstLine="6240" w:firstLineChars="1950"/>
        <w:jc w:val="left"/>
        <w:rPr>
          <w:rFonts w:ascii="仿宋_GB2312" w:eastAsia="仿宋_GB2312"/>
          <w:sz w:val="32"/>
          <w:szCs w:val="32"/>
        </w:rPr>
      </w:pPr>
      <w:bookmarkStart w:id="0" w:name="_GoBack"/>
      <w:bookmarkEnd w:id="0"/>
    </w:p>
    <w:p>
      <w:pPr>
        <w:spacing w:line="500" w:lineRule="exact"/>
        <w:ind w:firstLine="6240" w:firstLineChars="1950"/>
        <w:jc w:val="left"/>
        <w:rPr>
          <w:rFonts w:hint="eastAsia" w:ascii="仿宋" w:hAnsi="仿宋" w:eastAsia="仿宋" w:cs="仿宋"/>
          <w:sz w:val="32"/>
          <w:szCs w:val="32"/>
        </w:rPr>
      </w:pPr>
      <w:r>
        <w:rPr>
          <w:rFonts w:hint="eastAsia" w:ascii="仿宋" w:hAnsi="仿宋" w:eastAsia="仿宋" w:cs="仿宋"/>
          <w:sz w:val="32"/>
          <w:szCs w:val="32"/>
        </w:rPr>
        <w:t>教务处</w:t>
      </w:r>
    </w:p>
    <w:p>
      <w:pPr>
        <w:spacing w:line="500" w:lineRule="exact"/>
        <w:ind w:firstLine="640" w:firstLineChars="200"/>
        <w:jc w:val="center"/>
        <w:rPr>
          <w:rFonts w:ascii="宋体" w:hAnsi="宋体"/>
          <w:sz w:val="28"/>
          <w:szCs w:val="28"/>
        </w:rPr>
      </w:pPr>
      <w:r>
        <w:rPr>
          <w:rFonts w:hint="eastAsia" w:ascii="仿宋" w:hAnsi="仿宋" w:eastAsia="仿宋" w:cs="仿宋"/>
          <w:sz w:val="32"/>
          <w:szCs w:val="32"/>
        </w:rPr>
        <w:t xml:space="preserve">                           2021年2月20日</w:t>
      </w:r>
    </w:p>
    <w:p>
      <w:pPr>
        <w:spacing w:line="220" w:lineRule="atLeast"/>
        <w:jc w:val="center"/>
        <w:sectPr>
          <w:pgSz w:w="11906" w:h="16838"/>
          <w:pgMar w:top="1984" w:right="1701" w:bottom="1701" w:left="1814" w:header="851" w:footer="992" w:gutter="0"/>
          <w:cols w:space="720" w:num="1"/>
          <w:docGrid w:linePitch="312" w:charSpace="0"/>
        </w:sectPr>
      </w:pPr>
    </w:p>
    <w:p>
      <w:pPr>
        <w:spacing w:line="600" w:lineRule="exact"/>
        <w:ind w:left="-26" w:leftChars="-95" w:hanging="173" w:hangingChars="62"/>
        <w:jc w:val="left"/>
        <w:rPr>
          <w:rFonts w:hint="eastAsia" w:ascii="仿宋" w:hAnsi="仿宋" w:eastAsia="仿宋" w:cs="仿宋"/>
          <w:sz w:val="28"/>
          <w:szCs w:val="28"/>
        </w:rPr>
      </w:pPr>
      <w:r>
        <w:rPr>
          <w:rFonts w:hint="eastAsia" w:ascii="仿宋" w:hAnsi="仿宋" w:eastAsia="仿宋" w:cs="仿宋"/>
          <w:sz w:val="28"/>
          <w:szCs w:val="28"/>
        </w:rPr>
        <w:t>附表1：</w:t>
      </w:r>
    </w:p>
    <w:p>
      <w:pPr>
        <w:spacing w:line="600" w:lineRule="exact"/>
        <w:ind w:left="-25" w:leftChars="-95" w:hanging="174" w:hangingChars="62"/>
        <w:jc w:val="center"/>
        <w:rPr>
          <w:rFonts w:hint="eastAsia" w:ascii="方正小标宋简体" w:eastAsia="方正小标宋简体"/>
          <w:sz w:val="28"/>
          <w:szCs w:val="28"/>
        </w:rPr>
      </w:pPr>
      <w:r>
        <w:rPr>
          <w:rFonts w:hint="eastAsia" w:ascii="方正小标宋简体" w:eastAsia="方正小标宋简体"/>
          <w:b/>
          <w:sz w:val="28"/>
          <w:szCs w:val="28"/>
        </w:rPr>
        <w:t>湖南文理学院2021年度教学成果奖拟授奖名单</w:t>
      </w:r>
    </w:p>
    <w:tbl>
      <w:tblPr>
        <w:tblStyle w:val="3"/>
        <w:tblW w:w="9539" w:type="dxa"/>
        <w:jc w:val="center"/>
        <w:tblLayout w:type="fixed"/>
        <w:tblCellMar>
          <w:top w:w="0" w:type="dxa"/>
          <w:left w:w="108" w:type="dxa"/>
          <w:bottom w:w="0" w:type="dxa"/>
          <w:right w:w="108" w:type="dxa"/>
        </w:tblCellMar>
      </w:tblPr>
      <w:tblGrid>
        <w:gridCol w:w="695"/>
        <w:gridCol w:w="7562"/>
        <w:gridCol w:w="1282"/>
      </w:tblGrid>
      <w:tr>
        <w:tblPrEx>
          <w:tblCellMar>
            <w:top w:w="0" w:type="dxa"/>
            <w:left w:w="108" w:type="dxa"/>
            <w:bottom w:w="0" w:type="dxa"/>
            <w:right w:w="108" w:type="dxa"/>
          </w:tblCellMar>
        </w:tblPrEx>
        <w:trPr>
          <w:trHeight w:val="660" w:hRule="atLeast"/>
          <w:tblHeader/>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105" w:leftChars="-50" w:right="-105" w:rightChars="-5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105" w:leftChars="-50" w:right="-105" w:rightChars="-5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成果名称</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left="-105" w:leftChars="-50" w:right="-105" w:rightChars="-5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获奖等级</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能力导向、四位一体、协同驱动─光电类专业应用型人才培养的探索与实践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地方高校电气信息类“四驱动五融合”应用型创新人才培养模式探索与实践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对接与重构:“德、智、能”三位一体的化学师范生基础课程群建设</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新工科背景下地方高校土建类专业学生创新实践能力培养的探索与实践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“健康中国”视域下社会体育内涵式发展的教学模式与实践探索</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乡村振兴背景下地方高校“三型四新五农”乡土人才培养改革研究</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“三结合四驱动五协同”模式下理工科类学科竞赛助力育人的实践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新农科双创人才“二一四三”培养模式探索与实践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7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新文科背景下“多元混合交互式”法学课程教学模式的探索与实践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英语专业“四融合”建设“四有”好老师队伍培养卓越外语人才的探索与实践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基于 BIM 的土木工程专业教育教学改革和创新型人才培养的探索与实践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基于“五共十化”的高校思政课程与课程思政同向同行育人模式探索与实践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教育信息化赋能高校跨学科专创融合教育研究与实践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砥砺乡土：乡村教师4ACCESS培养模式的理论创建与实践探索</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依托品牌建设实施“六个转型”的音乐舞蹈类应用型人才培养研究与实践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地方本科院校旅游管理专业应用方向转型的探索与实践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着力构建以大学生理论宣讲为抓手的“一二三”思政课实践教学新模式</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一核·</w:t>
            </w:r>
            <w:r>
              <w:rPr>
                <w:rFonts w:hint="eastAsia" w:ascii="仿宋" w:hAnsi="仿宋" w:eastAsia="仿宋" w:cs="仿宋"/>
                <w:color w:val="000000"/>
                <w:kern w:val="0"/>
                <w:sz w:val="24"/>
                <w:szCs w:val="24"/>
              </w:rPr>
              <w:t>二驱</w:t>
            </w:r>
            <w:r>
              <w:rPr>
                <w:rFonts w:hint="eastAsia" w:ascii="仿宋" w:hAnsi="仿宋" w:eastAsia="仿宋" w:cs="宋体"/>
                <w:color w:val="000000"/>
                <w:kern w:val="0"/>
                <w:sz w:val="24"/>
                <w:szCs w:val="24"/>
              </w:rPr>
              <w:t>·</w:t>
            </w:r>
            <w:r>
              <w:rPr>
                <w:rFonts w:hint="eastAsia" w:ascii="仿宋" w:hAnsi="仿宋" w:eastAsia="仿宋" w:cs="仿宋"/>
                <w:color w:val="000000"/>
                <w:kern w:val="0"/>
                <w:sz w:val="24"/>
                <w:szCs w:val="24"/>
              </w:rPr>
              <w:t>三协同——经管类“三型”人才培养的探索与实践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道器同传，知行互益，新文科理念下中文专业核心素养提升研究与实践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党建引领下的“价值塑造、能力培养、知识传授”三位一体机械类专业人才培养模式的改革与实践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“认知大美中国”-旅游规划策划能力培养的课程思政建设与实践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新文科背景下现代“书院制”教学模式的理论构建与实践探索</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一流学科建设背景下日语演讲实践教学改革与探索 </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“督导-评估-教师发展”三位一体促转型——高校内部质量管理创新研究与实践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基于“明理-悟理-求理-传理”教学创新的“大思政”育人模式探索与实践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基于资源共享的独立学院信息工程类专业应用型人才实践创新能力培养的探索与实践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27</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地方高校物理学人才培养模式的改革与实践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ascii="仿宋" w:hAnsi="仿宋" w:eastAsia="仿宋" w:cs="宋体"/>
                <w:color w:val="000000"/>
                <w:kern w:val="0"/>
                <w:sz w:val="24"/>
                <w:szCs w:val="24"/>
              </w:rPr>
              <w:t>基于生态文明教育的英语师范专业</w:t>
            </w:r>
            <w:r>
              <w:rPr>
                <w:rFonts w:hint="eastAsia" w:ascii="微软雅黑" w:hAnsi="微软雅黑" w:eastAsia="微软雅黑" w:cs="微软雅黑"/>
                <w:color w:val="000000"/>
                <w:kern w:val="0"/>
                <w:sz w:val="24"/>
                <w:szCs w:val="24"/>
              </w:rPr>
              <w:t>‚</w:t>
            </w:r>
            <w:r>
              <w:rPr>
                <w:rFonts w:ascii="仿宋" w:hAnsi="仿宋" w:eastAsia="仿宋" w:cs="宋体"/>
                <w:color w:val="000000"/>
                <w:kern w:val="0"/>
                <w:sz w:val="24"/>
                <w:szCs w:val="24"/>
              </w:rPr>
              <w:t>生态型人才培养体系构建与实践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29</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地方型、开放式、国际化信息类课程教学模式探索与实践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新文科背景下“四维联动”知识产权法复合型人 才培养模式探索与实践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31</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“三创融合、产业育人”的化工类立体化创新创业人才培养体系研究</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32</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留住、参与、交还——《植物学》课程“拓扑化”教学改革的探索与实践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33</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新工科背景下创新型技术人才培养的模块化设计与学生素质的培育与实践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34</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地方应用型本科院校国际经济与贸易专业创新创业人才培养模式的探索与实践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35</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地方高校“一中心两平台三一体”式思政课教学实效提升探索与实践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36</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集成-协同理念下独立学院“1+2+3+4+5+N”立体式、多维度思政育人模式的建构与实践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37</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独立学院艺术设计类专业应用型人才培养模式研究与实践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38</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课程思政融通，理论实践并行的独立学院经管类专业学生双创能力培养体系探索</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39</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高等代数和高等数学教学内容优化与教学方法改进 </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40</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“学术为基 实践为魂”--面向“一流”的艺术本科教育创新体系探索</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二等</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41</w:t>
            </w:r>
          </w:p>
        </w:tc>
        <w:tc>
          <w:tcPr>
            <w:tcW w:w="7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“精讲/自学/设计/竞赛/研创”五位一体材料力学课程教学改革实践</w:t>
            </w:r>
          </w:p>
        </w:tc>
        <w:tc>
          <w:tcPr>
            <w:tcW w:w="128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二等</w:t>
            </w:r>
          </w:p>
        </w:tc>
      </w:tr>
    </w:tbl>
    <w:p>
      <w:pPr>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rPr>
          <w:rFonts w:ascii="仿宋" w:hAnsi="仿宋" w:eastAsia="仿宋"/>
          <w:sz w:val="28"/>
          <w:szCs w:val="28"/>
        </w:rPr>
      </w:pPr>
      <w:r>
        <w:rPr>
          <w:rFonts w:hint="eastAsia" w:ascii="仿宋" w:hAnsi="仿宋" w:eastAsia="仿宋"/>
          <w:sz w:val="28"/>
          <w:szCs w:val="28"/>
        </w:rPr>
        <w:t>附表2：</w:t>
      </w:r>
    </w:p>
    <w:p>
      <w:pPr>
        <w:jc w:val="center"/>
        <w:rPr>
          <w:rFonts w:hint="eastAsia" w:ascii="方正小标宋简体" w:hAnsi="仿宋" w:eastAsia="方正小标宋简体"/>
          <w:sz w:val="28"/>
          <w:szCs w:val="28"/>
        </w:rPr>
      </w:pPr>
      <w:r>
        <w:rPr>
          <w:rFonts w:hint="eastAsia" w:ascii="方正小标宋简体" w:hAnsi="仿宋" w:eastAsia="方正小标宋简体"/>
          <w:b/>
          <w:sz w:val="28"/>
          <w:szCs w:val="28"/>
        </w:rPr>
        <w:t>湖南文理学院拟推荐申报第十三届省级教学成果奖名单</w:t>
      </w:r>
    </w:p>
    <w:tbl>
      <w:tblPr>
        <w:tblStyle w:val="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8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1" w:type="dxa"/>
            <w:shd w:val="clear" w:color="auto" w:fill="auto"/>
            <w:vAlign w:val="center"/>
          </w:tcPr>
          <w:p>
            <w:pPr>
              <w:widowControl/>
              <w:ind w:left="-105" w:leftChars="-50" w:right="-105" w:rightChars="-5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8419" w:type="dxa"/>
            <w:shd w:val="clear" w:color="auto" w:fill="auto"/>
            <w:noWrap/>
            <w:vAlign w:val="center"/>
          </w:tcPr>
          <w:p>
            <w:pPr>
              <w:widowControl/>
              <w:ind w:left="-105" w:leftChars="-50" w:right="-105" w:rightChars="-5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成果名称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8419" w:type="dxa"/>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地方高校电气信息类“四驱动五融合”应用型创新人才培养模式探索与实践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8419" w:type="dxa"/>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“健康中国”视域下社会体育内涵式发展的教学模式与实践探索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8419" w:type="dxa"/>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乡村振兴背景下地方高校“三型四新五农”乡土人才培养改革研究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8419" w:type="dxa"/>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“三结合四驱动五协同”模式下理工科类学科竞赛助力育人的实践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8419" w:type="dxa"/>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新农科双创人才“二一四三”培养模式探索与实践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8419" w:type="dxa"/>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道器同传，知行互益，新文科理念下中文专业核心素养提升研究与实践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8419" w:type="dxa"/>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基于“五共十化”的高校思政课程与课程思政同向同行育人模式探索与实践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8419" w:type="dxa"/>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教育信息化赋能高校跨学科专创融合教育研究与实践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8419" w:type="dxa"/>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砥砺乡土：乡村教师4ACCESS培养模式的理论创建与实践探索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8419" w:type="dxa"/>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一核</w:t>
            </w:r>
            <w:r>
              <w:rPr>
                <w:rFonts w:hint="eastAsia" w:ascii="微软雅黑" w:hAnsi="微软雅黑" w:eastAsia="微软雅黑" w:cs="微软雅黑"/>
                <w:color w:val="000000"/>
                <w:kern w:val="0"/>
                <w:sz w:val="24"/>
                <w:szCs w:val="24"/>
              </w:rPr>
              <w:t>•</w:t>
            </w:r>
            <w:r>
              <w:rPr>
                <w:rFonts w:hint="eastAsia" w:ascii="仿宋" w:hAnsi="仿宋" w:eastAsia="仿宋" w:cs="仿宋"/>
                <w:color w:val="000000"/>
                <w:kern w:val="0"/>
                <w:sz w:val="24"/>
                <w:szCs w:val="24"/>
              </w:rPr>
              <w:t>二驱</w:t>
            </w:r>
            <w:r>
              <w:rPr>
                <w:rFonts w:hint="eastAsia" w:ascii="微软雅黑" w:hAnsi="微软雅黑" w:eastAsia="微软雅黑" w:cs="微软雅黑"/>
                <w:color w:val="000000"/>
                <w:kern w:val="0"/>
                <w:sz w:val="24"/>
                <w:szCs w:val="24"/>
              </w:rPr>
              <w:t>•</w:t>
            </w:r>
            <w:r>
              <w:rPr>
                <w:rFonts w:hint="eastAsia" w:ascii="仿宋" w:hAnsi="仿宋" w:eastAsia="仿宋" w:cs="仿宋"/>
                <w:color w:val="000000"/>
                <w:kern w:val="0"/>
                <w:sz w:val="24"/>
                <w:szCs w:val="24"/>
              </w:rPr>
              <w:t>三协同——经管类“三型”人才培养的探索与实践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8419" w:type="dxa"/>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“认知大美中国”—旅游规划策划能力培养的课程思政建设与实践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8419" w:type="dxa"/>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新文科背景下现代“书院制”教学模式的理论构建与实践探索</w:t>
            </w:r>
          </w:p>
        </w:tc>
      </w:tr>
    </w:tbl>
    <w:p>
      <w:pPr>
        <w:widowControl/>
        <w:jc w:val="left"/>
        <w:rPr>
          <w:rFonts w:ascii="仿宋" w:hAnsi="仿宋" w:eastAsia="仿宋"/>
          <w:sz w:val="28"/>
          <w:szCs w:val="28"/>
        </w:rPr>
      </w:pPr>
      <w:r>
        <w:rPr>
          <w:rFonts w:ascii="仿宋" w:hAnsi="仿宋" w:eastAsia="仿宋"/>
          <w:sz w:val="28"/>
          <w:szCs w:val="28"/>
        </w:rPr>
        <w:br w:type="page"/>
      </w:r>
    </w:p>
    <w:p>
      <w:pPr>
        <w:spacing w:line="600" w:lineRule="exact"/>
        <w:ind w:left="-26" w:leftChars="-95" w:hanging="173" w:hangingChars="62"/>
        <w:rPr>
          <w:rFonts w:ascii="仿宋" w:hAnsi="仿宋" w:eastAsia="仿宋"/>
          <w:sz w:val="28"/>
          <w:szCs w:val="28"/>
        </w:rPr>
      </w:pPr>
      <w:r>
        <w:rPr>
          <w:rFonts w:hint="eastAsia" w:ascii="仿宋" w:hAnsi="仿宋" w:eastAsia="仿宋"/>
          <w:sz w:val="28"/>
          <w:szCs w:val="28"/>
        </w:rPr>
        <w:t>附表3：</w:t>
      </w:r>
    </w:p>
    <w:p>
      <w:pPr>
        <w:jc w:val="center"/>
        <w:rPr>
          <w:rFonts w:ascii="方正小标宋简体" w:hAnsi="仿宋" w:eastAsia="方正小标宋简体"/>
          <w:b/>
          <w:sz w:val="28"/>
          <w:szCs w:val="28"/>
        </w:rPr>
      </w:pPr>
      <w:r>
        <w:rPr>
          <w:rFonts w:hint="eastAsia" w:ascii="方正小标宋简体" w:hAnsi="仿宋" w:eastAsia="方正小标宋简体"/>
          <w:b/>
          <w:sz w:val="28"/>
          <w:szCs w:val="28"/>
        </w:rPr>
        <w:t>湖南文理学院芙蓉学院拟推荐申报第十三届省级教学成果奖名单</w:t>
      </w:r>
    </w:p>
    <w:tbl>
      <w:tblPr>
        <w:tblStyle w:val="3"/>
        <w:tblW w:w="8992" w:type="dxa"/>
        <w:jc w:val="center"/>
        <w:tblLayout w:type="autofit"/>
        <w:tblCellMar>
          <w:top w:w="0" w:type="dxa"/>
          <w:left w:w="108" w:type="dxa"/>
          <w:bottom w:w="0" w:type="dxa"/>
          <w:right w:w="108" w:type="dxa"/>
        </w:tblCellMar>
      </w:tblPr>
      <w:tblGrid>
        <w:gridCol w:w="695"/>
        <w:gridCol w:w="8297"/>
      </w:tblGrid>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105" w:leftChars="-50" w:right="-105" w:rightChars="-5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8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105" w:leftChars="-50" w:right="-105" w:rightChars="-5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成果名称</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8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对接与重构:“德、智、能”三位一体的化学师范生基础课程群建设</w:t>
            </w:r>
          </w:p>
        </w:tc>
      </w:tr>
      <w:tr>
        <w:tblPrEx>
          <w:tblCellMar>
            <w:top w:w="0" w:type="dxa"/>
            <w:left w:w="108" w:type="dxa"/>
            <w:bottom w:w="0" w:type="dxa"/>
            <w:right w:w="108" w:type="dxa"/>
          </w:tblCellMar>
        </w:tblPrEx>
        <w:trPr>
          <w:trHeight w:val="6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8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集成-协同理念下独立学院“1+2+3+4+5+N”立体式、多维度思政育人模式的建构与实践</w:t>
            </w:r>
          </w:p>
        </w:tc>
      </w:tr>
    </w:tbl>
    <w:p>
      <w:pPr>
        <w:spacing w:line="600" w:lineRule="exact"/>
        <w:ind w:firstLine="640" w:firstLineChars="2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_GBK">
    <w:panose1 w:val="02000000000000000000"/>
    <w:charset w:val="86"/>
    <w:family w:val="script"/>
    <w:pitch w:val="default"/>
    <w:sig w:usb0="A00002BF" w:usb1="38CF7CFA" w:usb2="0008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0B"/>
    <w:rsid w:val="00150098"/>
    <w:rsid w:val="001C28BB"/>
    <w:rsid w:val="002D5DE9"/>
    <w:rsid w:val="00315F14"/>
    <w:rsid w:val="00315FDC"/>
    <w:rsid w:val="003418B6"/>
    <w:rsid w:val="00344549"/>
    <w:rsid w:val="00386A6D"/>
    <w:rsid w:val="00394C61"/>
    <w:rsid w:val="003F0385"/>
    <w:rsid w:val="004B580B"/>
    <w:rsid w:val="00533185"/>
    <w:rsid w:val="0056151A"/>
    <w:rsid w:val="00563F31"/>
    <w:rsid w:val="00573163"/>
    <w:rsid w:val="005814E6"/>
    <w:rsid w:val="005D342F"/>
    <w:rsid w:val="0062477E"/>
    <w:rsid w:val="00770517"/>
    <w:rsid w:val="007833BB"/>
    <w:rsid w:val="00793502"/>
    <w:rsid w:val="00822151"/>
    <w:rsid w:val="008D7243"/>
    <w:rsid w:val="009F5A2A"/>
    <w:rsid w:val="00AD704B"/>
    <w:rsid w:val="00B55DD2"/>
    <w:rsid w:val="00BA0558"/>
    <w:rsid w:val="00BD0D06"/>
    <w:rsid w:val="00C91ADA"/>
    <w:rsid w:val="00CA2B4A"/>
    <w:rsid w:val="00CB4031"/>
    <w:rsid w:val="00CC116B"/>
    <w:rsid w:val="00CD525F"/>
    <w:rsid w:val="00D5214C"/>
    <w:rsid w:val="00D64B62"/>
    <w:rsid w:val="00DD0E62"/>
    <w:rsid w:val="00E1372E"/>
    <w:rsid w:val="00EE540C"/>
    <w:rsid w:val="00F831C2"/>
    <w:rsid w:val="00FB4DE0"/>
    <w:rsid w:val="00FD172A"/>
    <w:rsid w:val="00FD3FE7"/>
    <w:rsid w:val="0D4243C9"/>
    <w:rsid w:val="100714F0"/>
    <w:rsid w:val="4A587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paragraph" w:styleId="5">
    <w:name w:val="List Paragraph"/>
    <w:basedOn w:val="1"/>
    <w:qFormat/>
    <w:uiPriority w:val="34"/>
    <w:pPr>
      <w:ind w:firstLine="420" w:firstLineChars="200"/>
    </w:pPr>
  </w:style>
  <w:style w:type="character" w:customStyle="1" w:styleId="6">
    <w:name w:val="批注框文本 字符"/>
    <w:basedOn w:val="4"/>
    <w:link w:val="2"/>
    <w:semiHidden/>
    <w:uiPriority w:val="99"/>
    <w:rPr>
      <w:sz w:val="18"/>
      <w:szCs w:val="18"/>
    </w:rPr>
  </w:style>
  <w:style w:type="character" w:customStyle="1" w:styleId="7">
    <w:name w:val="font51"/>
    <w:basedOn w:val="4"/>
    <w:qFormat/>
    <w:uiPriority w:val="0"/>
    <w:rPr>
      <w:rFonts w:hint="eastAsia" w:ascii="宋体" w:hAnsi="宋体" w:eastAsia="宋体"/>
      <w:color w:val="000000"/>
      <w:sz w:val="24"/>
      <w:szCs w:val="24"/>
      <w:u w:val="none"/>
    </w:rPr>
  </w:style>
  <w:style w:type="character" w:customStyle="1" w:styleId="8">
    <w:name w:val="font01"/>
    <w:basedOn w:val="4"/>
    <w:qFormat/>
    <w:uiPriority w:val="0"/>
    <w:rPr>
      <w:rFonts w:hint="eastAsia" w:ascii="等线" w:hAnsi="等线" w:eastAsia="等线"/>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464</Words>
  <Characters>2646</Characters>
  <Lines>22</Lines>
  <Paragraphs>6</Paragraphs>
  <TotalTime>4</TotalTime>
  <ScaleCrop>false</ScaleCrop>
  <LinksUpToDate>false</LinksUpToDate>
  <CharactersWithSpaces>3104</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2022-02-20T01:07:00Z</dcterms:created>
  <dc:creator>王云</dc:creator>
  <cp:lastModifiedBy>西方无剑</cp:lastModifiedBy>
  <cp:lastPrinted>2022-02-20T12:58:00Z</cp:lastPrinted>
  <dcterms:modified xsi:type="dcterms:W3CDTF">2022-02-20T13:45:28Z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